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1B16" w14:textId="681C252B" w:rsidR="0085089A" w:rsidRPr="0085089A" w:rsidRDefault="0085089A" w:rsidP="008508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Haushaltssatzung der Stadt Rinteln für das Haushaltsjahr 2026</w:t>
      </w:r>
    </w:p>
    <w:p w14:paraId="2499D528" w14:textId="77777777" w:rsidR="0085089A" w:rsidRPr="006822B5" w:rsidRDefault="0085089A" w:rsidP="0085089A">
      <w:pPr>
        <w:pStyle w:val="Textkrper"/>
        <w:spacing w:line="240" w:lineRule="auto"/>
        <w:jc w:val="both"/>
      </w:pPr>
      <w:r w:rsidRPr="006822B5">
        <w:t>Aufgrund des § 112 des Niedersächsischen Kommunalverfassungsgesetzes hat der Rat der Stadt Rinteln in der Sitzung am 27.11.202</w:t>
      </w:r>
      <w:r>
        <w:t>5</w:t>
      </w:r>
      <w:r w:rsidRPr="006822B5">
        <w:t xml:space="preserve"> folgende Haushaltssatzung beschlossen:</w:t>
      </w:r>
    </w:p>
    <w:p w14:paraId="3C9329F9" w14:textId="77777777" w:rsidR="0085089A" w:rsidRPr="006822B5" w:rsidRDefault="0085089A" w:rsidP="0085089A">
      <w:pPr>
        <w:rPr>
          <w:rFonts w:ascii="Arial" w:hAnsi="Arial" w:cs="Arial"/>
          <w:sz w:val="24"/>
          <w:szCs w:val="24"/>
        </w:rPr>
      </w:pPr>
    </w:p>
    <w:p w14:paraId="74BE0DC2" w14:textId="77777777" w:rsidR="0085089A" w:rsidRPr="006822B5" w:rsidRDefault="0085089A" w:rsidP="008508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22B5">
        <w:rPr>
          <w:rFonts w:ascii="Arial" w:hAnsi="Arial" w:cs="Arial"/>
          <w:b/>
          <w:bCs/>
          <w:sz w:val="24"/>
          <w:szCs w:val="24"/>
        </w:rPr>
        <w:t>§ 1</w:t>
      </w:r>
    </w:p>
    <w:p w14:paraId="616BA0B9" w14:textId="77777777" w:rsidR="0085089A" w:rsidRPr="006822B5" w:rsidRDefault="0085089A" w:rsidP="0085089A">
      <w:pPr>
        <w:pStyle w:val="Textkrper"/>
        <w:spacing w:line="240" w:lineRule="auto"/>
      </w:pPr>
      <w:r w:rsidRPr="006822B5">
        <w:t>Der Haushaltsplan für das Haushaltsjahr 2026 wird</w:t>
      </w:r>
    </w:p>
    <w:p w14:paraId="7901B0DF" w14:textId="77777777" w:rsidR="0085089A" w:rsidRPr="006822B5" w:rsidRDefault="0085089A" w:rsidP="0085089A">
      <w:pPr>
        <w:pStyle w:val="Textkrper"/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"/>
        <w:gridCol w:w="189"/>
        <w:gridCol w:w="6390"/>
        <w:gridCol w:w="2114"/>
      </w:tblGrid>
      <w:tr w:rsidR="0085089A" w:rsidRPr="006822B5" w14:paraId="4F4F53AF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50EB48C8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1.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6D53FE8A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 xml:space="preserve">im </w:t>
            </w:r>
            <w:r w:rsidRPr="006822B5">
              <w:rPr>
                <w:b/>
                <w:bCs/>
              </w:rPr>
              <w:t>Ergebnishaushalt</w:t>
            </w:r>
            <w:r w:rsidRPr="006822B5">
              <w:rPr>
                <w:b/>
                <w:bCs/>
              </w:rPr>
              <w:br/>
            </w:r>
            <w:r w:rsidRPr="006822B5">
              <w:t>mit dem jeweiligen Gesamtbetrag</w:t>
            </w:r>
          </w:p>
        </w:tc>
        <w:tc>
          <w:tcPr>
            <w:tcW w:w="2114" w:type="dxa"/>
          </w:tcPr>
          <w:p w14:paraId="4A58E4D3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62E936FD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314A4308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08FA5750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06F43D88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34185C42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27EF64AC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1.1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25F5EF61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ordentlichen Erträge auf</w:t>
            </w:r>
          </w:p>
        </w:tc>
        <w:tc>
          <w:tcPr>
            <w:tcW w:w="2114" w:type="dxa"/>
            <w:vAlign w:val="bottom"/>
          </w:tcPr>
          <w:p w14:paraId="66ED2E5C" w14:textId="77777777" w:rsidR="0085089A" w:rsidRPr="006822B5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6822B5">
              <w:rPr>
                <w:rFonts w:cs="Arial"/>
                <w:color w:val="000000"/>
                <w:sz w:val="24"/>
                <w:szCs w:val="24"/>
              </w:rPr>
              <w:t>68.915.800  Euro</w:t>
            </w:r>
          </w:p>
        </w:tc>
      </w:tr>
      <w:tr w:rsidR="0085089A" w:rsidRPr="006822B5" w14:paraId="0F20CA29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25982BD7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1.2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59D6A51B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ordentlichen Aufwendungen auf</w:t>
            </w:r>
          </w:p>
        </w:tc>
        <w:tc>
          <w:tcPr>
            <w:tcW w:w="2114" w:type="dxa"/>
            <w:vAlign w:val="bottom"/>
          </w:tcPr>
          <w:p w14:paraId="1A88DA06" w14:textId="77777777" w:rsidR="0085089A" w:rsidRPr="006822B5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6822B5">
              <w:rPr>
                <w:rFonts w:cs="Arial"/>
                <w:color w:val="000000"/>
                <w:sz w:val="24"/>
                <w:szCs w:val="24"/>
              </w:rPr>
              <w:t>71.571.100  Euro</w:t>
            </w:r>
          </w:p>
        </w:tc>
      </w:tr>
      <w:tr w:rsidR="0085089A" w:rsidRPr="006822B5" w14:paraId="307D3759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77F84049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09C735F8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3A6E31E7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240CE808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4EC10F4C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1.3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5F74B8C4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außerordentlichen Erträge auf</w:t>
            </w:r>
          </w:p>
        </w:tc>
        <w:tc>
          <w:tcPr>
            <w:tcW w:w="2114" w:type="dxa"/>
          </w:tcPr>
          <w:p w14:paraId="1BE10F19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  <w:r w:rsidRPr="006822B5">
              <w:t>0  Euro</w:t>
            </w:r>
          </w:p>
        </w:tc>
      </w:tr>
      <w:tr w:rsidR="0085089A" w:rsidRPr="006822B5" w14:paraId="7B5404B1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1E2E4C5B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1.4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7134038A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außerordentlichen Aufwendungen auf</w:t>
            </w:r>
          </w:p>
        </w:tc>
        <w:tc>
          <w:tcPr>
            <w:tcW w:w="2114" w:type="dxa"/>
          </w:tcPr>
          <w:p w14:paraId="7378C615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  <w:r w:rsidRPr="006822B5">
              <w:t>0  Euro</w:t>
            </w:r>
          </w:p>
        </w:tc>
      </w:tr>
      <w:tr w:rsidR="0085089A" w:rsidRPr="006822B5" w14:paraId="37BBFC26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6144FE3F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2EDAB225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16F10791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10D6B672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41C519AB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4176831F" w14:textId="77777777" w:rsidR="0085089A" w:rsidRPr="006822B5" w:rsidRDefault="0085089A" w:rsidP="00D00C2D">
            <w:pPr>
              <w:spacing w:after="120"/>
              <w:rPr>
                <w:rFonts w:cs="Arial"/>
                <w:sz w:val="24"/>
                <w:szCs w:val="24"/>
              </w:rPr>
            </w:pPr>
            <w:r w:rsidRPr="006822B5">
              <w:rPr>
                <w:rFonts w:cs="Arial"/>
                <w:sz w:val="24"/>
                <w:szCs w:val="24"/>
              </w:rPr>
              <w:t xml:space="preserve">im </w:t>
            </w:r>
            <w:r w:rsidRPr="006822B5">
              <w:rPr>
                <w:rFonts w:cs="Arial"/>
                <w:b/>
                <w:bCs/>
                <w:sz w:val="24"/>
                <w:szCs w:val="24"/>
              </w:rPr>
              <w:t>Finanzhaushalt</w:t>
            </w:r>
            <w:r w:rsidRPr="006822B5">
              <w:rPr>
                <w:rFonts w:cs="Arial"/>
                <w:b/>
                <w:bCs/>
                <w:sz w:val="24"/>
                <w:szCs w:val="24"/>
              </w:rPr>
              <w:br/>
            </w:r>
            <w:r w:rsidRPr="006822B5">
              <w:rPr>
                <w:rFonts w:cs="Arial"/>
                <w:sz w:val="24"/>
                <w:szCs w:val="24"/>
              </w:rPr>
              <w:t>mit dem jeweiligen Gesamtbetrag</w:t>
            </w:r>
          </w:p>
          <w:p w14:paraId="7A911978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2B8B0F4D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62BBEF1A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1821F31B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2.1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6978156B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 xml:space="preserve">der Einzahlungen aus laufender Verwaltungstätigkeit </w:t>
            </w:r>
          </w:p>
        </w:tc>
        <w:tc>
          <w:tcPr>
            <w:tcW w:w="2114" w:type="dxa"/>
            <w:vAlign w:val="bottom"/>
          </w:tcPr>
          <w:p w14:paraId="3EDA9611" w14:textId="77777777" w:rsidR="0085089A" w:rsidRPr="006822B5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6822B5">
              <w:rPr>
                <w:rFonts w:cs="Arial"/>
                <w:color w:val="000000"/>
                <w:sz w:val="24"/>
                <w:szCs w:val="24"/>
              </w:rPr>
              <w:t>67.474.500  Euro</w:t>
            </w:r>
          </w:p>
        </w:tc>
      </w:tr>
      <w:tr w:rsidR="0085089A" w:rsidRPr="006822B5" w14:paraId="0BF39494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5ED0ABFC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2.2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0662BFD6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Auszahlungen aus laufender Verwaltungstätigkeit</w:t>
            </w:r>
          </w:p>
        </w:tc>
        <w:tc>
          <w:tcPr>
            <w:tcW w:w="2114" w:type="dxa"/>
            <w:vAlign w:val="bottom"/>
          </w:tcPr>
          <w:p w14:paraId="15662DB1" w14:textId="77777777" w:rsidR="0085089A" w:rsidRPr="006822B5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6822B5">
              <w:rPr>
                <w:rFonts w:cs="Arial"/>
                <w:color w:val="000000"/>
                <w:sz w:val="24"/>
                <w:szCs w:val="24"/>
              </w:rPr>
              <w:t>67.888.800  Euro</w:t>
            </w:r>
          </w:p>
        </w:tc>
      </w:tr>
      <w:tr w:rsidR="0085089A" w:rsidRPr="006822B5" w14:paraId="65B16504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1A97AADD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2.3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4782A37F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 xml:space="preserve">der Einzahlungen für Investitionstätigkeit </w:t>
            </w:r>
          </w:p>
        </w:tc>
        <w:tc>
          <w:tcPr>
            <w:tcW w:w="2114" w:type="dxa"/>
            <w:vAlign w:val="bottom"/>
          </w:tcPr>
          <w:p w14:paraId="79C7165A" w14:textId="77777777" w:rsidR="0085089A" w:rsidRPr="006822B5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5.798.1</w:t>
            </w:r>
            <w:r w:rsidRPr="006822B5">
              <w:rPr>
                <w:rFonts w:cs="Arial"/>
                <w:color w:val="000000"/>
                <w:sz w:val="24"/>
                <w:szCs w:val="24"/>
              </w:rPr>
              <w:t>00  Euro</w:t>
            </w:r>
          </w:p>
        </w:tc>
      </w:tr>
      <w:tr w:rsidR="0085089A" w:rsidRPr="006822B5" w14:paraId="6242D6ED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617D4110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2.4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1D35F142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Auszahlungen für Investitionstätigkeit</w:t>
            </w:r>
          </w:p>
        </w:tc>
        <w:tc>
          <w:tcPr>
            <w:tcW w:w="2114" w:type="dxa"/>
            <w:vAlign w:val="bottom"/>
          </w:tcPr>
          <w:p w14:paraId="397540C7" w14:textId="77777777" w:rsidR="0085089A" w:rsidRPr="00E6146C" w:rsidRDefault="0085089A" w:rsidP="00D00C2D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E6146C">
              <w:rPr>
                <w:rFonts w:cs="Arial"/>
                <w:color w:val="000000"/>
                <w:sz w:val="24"/>
                <w:szCs w:val="24"/>
              </w:rPr>
              <w:t>13.</w:t>
            </w:r>
            <w:r>
              <w:rPr>
                <w:rFonts w:cs="Arial"/>
                <w:color w:val="000000"/>
                <w:sz w:val="24"/>
                <w:szCs w:val="24"/>
              </w:rPr>
              <w:t>799</w:t>
            </w:r>
            <w:r w:rsidRPr="00E6146C">
              <w:rPr>
                <w:rFonts w:cs="Arial"/>
                <w:color w:val="000000"/>
                <w:sz w:val="24"/>
                <w:szCs w:val="24"/>
              </w:rPr>
              <w:t>.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  <w:r w:rsidRPr="00E6146C">
              <w:rPr>
                <w:rFonts w:cs="Arial"/>
                <w:color w:val="000000"/>
                <w:sz w:val="24"/>
                <w:szCs w:val="24"/>
              </w:rPr>
              <w:t>00  Euro</w:t>
            </w:r>
          </w:p>
        </w:tc>
      </w:tr>
      <w:tr w:rsidR="0085089A" w:rsidRPr="006822B5" w14:paraId="376AAF08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393C2AA0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2.5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543BFE83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Einzahlungen für Finanzierungstätigkeit</w:t>
            </w:r>
          </w:p>
        </w:tc>
        <w:tc>
          <w:tcPr>
            <w:tcW w:w="2114" w:type="dxa"/>
          </w:tcPr>
          <w:p w14:paraId="1C9FBEE2" w14:textId="77777777" w:rsidR="0085089A" w:rsidRPr="00E6146C" w:rsidRDefault="0085089A" w:rsidP="00D00C2D">
            <w:pPr>
              <w:pStyle w:val="Textkrper"/>
              <w:spacing w:line="240" w:lineRule="auto"/>
              <w:jc w:val="right"/>
            </w:pPr>
            <w:r>
              <w:t>8.001</w:t>
            </w:r>
            <w:r w:rsidRPr="00E6146C">
              <w:t>.000  Euro</w:t>
            </w:r>
          </w:p>
        </w:tc>
      </w:tr>
      <w:tr w:rsidR="0085089A" w:rsidRPr="006822B5" w14:paraId="787DED05" w14:textId="77777777" w:rsidTr="00D00C2D">
        <w:tc>
          <w:tcPr>
            <w:tcW w:w="567" w:type="dxa"/>
            <w:gridSpan w:val="2"/>
            <w:tcMar>
              <w:left w:w="0" w:type="dxa"/>
              <w:right w:w="0" w:type="dxa"/>
            </w:tcMar>
          </w:tcPr>
          <w:p w14:paraId="12C991F6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2.6</w:t>
            </w:r>
          </w:p>
        </w:tc>
        <w:tc>
          <w:tcPr>
            <w:tcW w:w="6390" w:type="dxa"/>
            <w:tcMar>
              <w:left w:w="0" w:type="dxa"/>
              <w:right w:w="0" w:type="dxa"/>
            </w:tcMar>
          </w:tcPr>
          <w:p w14:paraId="59F14BDA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der Auszahlungen für Finanzierungstätigkeit</w:t>
            </w:r>
          </w:p>
        </w:tc>
        <w:tc>
          <w:tcPr>
            <w:tcW w:w="2114" w:type="dxa"/>
          </w:tcPr>
          <w:p w14:paraId="18F7E0F6" w14:textId="77777777" w:rsidR="0085089A" w:rsidRPr="00E6146C" w:rsidRDefault="0085089A" w:rsidP="00D00C2D">
            <w:pPr>
              <w:pStyle w:val="Textkrper"/>
              <w:spacing w:line="240" w:lineRule="auto"/>
              <w:jc w:val="right"/>
            </w:pPr>
            <w:r w:rsidRPr="00E6146C">
              <w:t>1.700.000  Euro</w:t>
            </w:r>
          </w:p>
        </w:tc>
      </w:tr>
      <w:tr w:rsidR="0085089A" w:rsidRPr="006822B5" w14:paraId="0EA2955A" w14:textId="77777777" w:rsidTr="00D00C2D">
        <w:tc>
          <w:tcPr>
            <w:tcW w:w="6957" w:type="dxa"/>
            <w:gridSpan w:val="3"/>
            <w:tcMar>
              <w:left w:w="0" w:type="dxa"/>
              <w:right w:w="0" w:type="dxa"/>
            </w:tcMar>
          </w:tcPr>
          <w:p w14:paraId="11FAC6BD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5CA7061E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05859CD6" w14:textId="77777777" w:rsidTr="00D00C2D">
        <w:tc>
          <w:tcPr>
            <w:tcW w:w="6957" w:type="dxa"/>
            <w:gridSpan w:val="3"/>
            <w:tcMar>
              <w:left w:w="0" w:type="dxa"/>
              <w:right w:w="0" w:type="dxa"/>
            </w:tcMar>
          </w:tcPr>
          <w:p w14:paraId="0E48591E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festgesetzt.</w:t>
            </w:r>
          </w:p>
        </w:tc>
        <w:tc>
          <w:tcPr>
            <w:tcW w:w="2114" w:type="dxa"/>
          </w:tcPr>
          <w:p w14:paraId="088F88F4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054D25DD" w14:textId="77777777" w:rsidTr="00D00C2D">
        <w:tc>
          <w:tcPr>
            <w:tcW w:w="378" w:type="dxa"/>
            <w:tcMar>
              <w:left w:w="0" w:type="dxa"/>
              <w:right w:w="0" w:type="dxa"/>
            </w:tcMar>
          </w:tcPr>
          <w:p w14:paraId="71DE66F3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6579" w:type="dxa"/>
            <w:gridSpan w:val="2"/>
            <w:tcMar>
              <w:left w:w="0" w:type="dxa"/>
              <w:right w:w="0" w:type="dxa"/>
            </w:tcMar>
          </w:tcPr>
          <w:p w14:paraId="7C2074BB" w14:textId="77777777" w:rsidR="0085089A" w:rsidRPr="006822B5" w:rsidRDefault="0085089A" w:rsidP="00D00C2D">
            <w:pPr>
              <w:pStyle w:val="Textkrper"/>
              <w:spacing w:line="240" w:lineRule="auto"/>
            </w:pPr>
          </w:p>
        </w:tc>
        <w:tc>
          <w:tcPr>
            <w:tcW w:w="2114" w:type="dxa"/>
          </w:tcPr>
          <w:p w14:paraId="042B1EE7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2473E934" w14:textId="77777777" w:rsidTr="00D00C2D">
        <w:tc>
          <w:tcPr>
            <w:tcW w:w="6957" w:type="dxa"/>
            <w:gridSpan w:val="3"/>
            <w:tcMar>
              <w:left w:w="0" w:type="dxa"/>
              <w:right w:w="0" w:type="dxa"/>
            </w:tcMar>
          </w:tcPr>
          <w:p w14:paraId="7BB24D9F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Nachrichtlich: Gesamtbetrag</w:t>
            </w:r>
          </w:p>
        </w:tc>
        <w:tc>
          <w:tcPr>
            <w:tcW w:w="2114" w:type="dxa"/>
          </w:tcPr>
          <w:p w14:paraId="0258D1C3" w14:textId="77777777" w:rsidR="0085089A" w:rsidRPr="006822B5" w:rsidRDefault="0085089A" w:rsidP="00D00C2D">
            <w:pPr>
              <w:pStyle w:val="Textkrper"/>
              <w:spacing w:line="240" w:lineRule="auto"/>
              <w:jc w:val="right"/>
            </w:pPr>
          </w:p>
        </w:tc>
      </w:tr>
      <w:tr w:rsidR="0085089A" w:rsidRPr="006822B5" w14:paraId="369FA577" w14:textId="77777777" w:rsidTr="00D00C2D">
        <w:tc>
          <w:tcPr>
            <w:tcW w:w="6957" w:type="dxa"/>
            <w:gridSpan w:val="3"/>
            <w:tcMar>
              <w:left w:w="0" w:type="dxa"/>
              <w:right w:w="0" w:type="dxa"/>
            </w:tcMar>
          </w:tcPr>
          <w:p w14:paraId="0DC62EB0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- der Einzahlungen des Finanzhaushaltes</w:t>
            </w:r>
          </w:p>
        </w:tc>
        <w:tc>
          <w:tcPr>
            <w:tcW w:w="2114" w:type="dxa"/>
          </w:tcPr>
          <w:p w14:paraId="06F9C24D" w14:textId="77777777" w:rsidR="0085089A" w:rsidRDefault="0085089A" w:rsidP="00D00C2D">
            <w:pPr>
              <w:pStyle w:val="Textkrper"/>
              <w:spacing w:line="240" w:lineRule="auto"/>
              <w:jc w:val="right"/>
            </w:pPr>
            <w:r>
              <w:t>81.273.600  Euro</w:t>
            </w:r>
          </w:p>
        </w:tc>
      </w:tr>
      <w:tr w:rsidR="0085089A" w:rsidRPr="006822B5" w14:paraId="2EDB782F" w14:textId="77777777" w:rsidTr="00D00C2D">
        <w:tc>
          <w:tcPr>
            <w:tcW w:w="6957" w:type="dxa"/>
            <w:gridSpan w:val="3"/>
            <w:tcMar>
              <w:left w:w="0" w:type="dxa"/>
              <w:right w:w="0" w:type="dxa"/>
            </w:tcMar>
          </w:tcPr>
          <w:p w14:paraId="259BA77D" w14:textId="77777777" w:rsidR="0085089A" w:rsidRPr="006822B5" w:rsidRDefault="0085089A" w:rsidP="00D00C2D">
            <w:pPr>
              <w:pStyle w:val="Textkrper"/>
              <w:spacing w:line="240" w:lineRule="auto"/>
            </w:pPr>
            <w:r w:rsidRPr="006822B5">
              <w:t>- der Auszahlungen des Finanzhaushaltes</w:t>
            </w:r>
          </w:p>
        </w:tc>
        <w:tc>
          <w:tcPr>
            <w:tcW w:w="2114" w:type="dxa"/>
          </w:tcPr>
          <w:p w14:paraId="5F753768" w14:textId="77777777" w:rsidR="0085089A" w:rsidRDefault="0085089A" w:rsidP="00D00C2D">
            <w:pPr>
              <w:pStyle w:val="Textkrper"/>
              <w:spacing w:line="240" w:lineRule="auto"/>
              <w:jc w:val="right"/>
            </w:pPr>
            <w:r>
              <w:t>83.387.900  Euro</w:t>
            </w:r>
          </w:p>
        </w:tc>
      </w:tr>
    </w:tbl>
    <w:p w14:paraId="349E7007" w14:textId="77777777" w:rsidR="0085089A" w:rsidRPr="006822B5" w:rsidRDefault="0085089A" w:rsidP="0085089A">
      <w:pPr>
        <w:tabs>
          <w:tab w:val="left" w:pos="6025"/>
          <w:tab w:val="left" w:pos="8860"/>
        </w:tabs>
        <w:rPr>
          <w:rFonts w:ascii="Arial" w:hAnsi="Arial" w:cs="Arial"/>
          <w:sz w:val="24"/>
          <w:szCs w:val="24"/>
        </w:rPr>
      </w:pPr>
    </w:p>
    <w:p w14:paraId="3D3C84ED" w14:textId="77777777" w:rsidR="0085089A" w:rsidRPr="006822B5" w:rsidRDefault="0085089A" w:rsidP="0085089A">
      <w:pPr>
        <w:jc w:val="center"/>
        <w:rPr>
          <w:rFonts w:ascii="Arial" w:hAnsi="Arial" w:cs="Arial"/>
          <w:b/>
          <w:sz w:val="24"/>
          <w:szCs w:val="24"/>
        </w:rPr>
      </w:pPr>
      <w:r w:rsidRPr="006822B5">
        <w:rPr>
          <w:rFonts w:ascii="Arial" w:hAnsi="Arial" w:cs="Arial"/>
          <w:b/>
          <w:sz w:val="24"/>
          <w:szCs w:val="24"/>
        </w:rPr>
        <w:lastRenderedPageBreak/>
        <w:t>§ 2</w:t>
      </w:r>
    </w:p>
    <w:p w14:paraId="6474994B" w14:textId="1ACAC48E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 xml:space="preserve">Der Gesamtbetrag der vorgesehenen Kreditaufnahmen für Investitionen und Investitionsförderungsmaßnahmen (Kreditermächtigung) wird auf </w:t>
      </w:r>
      <w:r>
        <w:rPr>
          <w:rFonts w:ascii="Arial" w:hAnsi="Arial" w:cs="Arial"/>
          <w:sz w:val="24"/>
          <w:szCs w:val="24"/>
        </w:rPr>
        <w:t>8.001.</w:t>
      </w:r>
      <w:r w:rsidRPr="006822B5">
        <w:rPr>
          <w:rFonts w:ascii="Arial" w:hAnsi="Arial" w:cs="Arial"/>
          <w:sz w:val="24"/>
          <w:szCs w:val="24"/>
        </w:rPr>
        <w:t>000  Euro festgesetzt.</w:t>
      </w:r>
    </w:p>
    <w:p w14:paraId="24287DBB" w14:textId="77777777" w:rsidR="0085089A" w:rsidRPr="006822B5" w:rsidRDefault="0085089A" w:rsidP="0085089A">
      <w:pPr>
        <w:keepNext/>
        <w:keepLines/>
        <w:tabs>
          <w:tab w:val="left" w:pos="28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822B5">
        <w:rPr>
          <w:rFonts w:ascii="Arial" w:hAnsi="Arial" w:cs="Arial"/>
          <w:b/>
          <w:bCs/>
          <w:sz w:val="24"/>
          <w:szCs w:val="24"/>
        </w:rPr>
        <w:t>§ 3</w:t>
      </w:r>
    </w:p>
    <w:p w14:paraId="240C5E5D" w14:textId="77777777" w:rsidR="0085089A" w:rsidRPr="006822B5" w:rsidRDefault="0085089A" w:rsidP="0085089A">
      <w:pPr>
        <w:pStyle w:val="Textkrper"/>
        <w:keepNext/>
        <w:keepLines/>
        <w:spacing w:line="240" w:lineRule="auto"/>
        <w:jc w:val="both"/>
      </w:pPr>
      <w:r w:rsidRPr="006822B5">
        <w:t xml:space="preserve">Der Gesamtbetrag der Verpflichtungsermächtigungen wird auf </w:t>
      </w:r>
      <w:r>
        <w:t xml:space="preserve">7.059.300 </w:t>
      </w:r>
      <w:r w:rsidRPr="006822B5">
        <w:t xml:space="preserve"> Euro festgesetzt.</w:t>
      </w:r>
    </w:p>
    <w:p w14:paraId="00D2EFE2" w14:textId="77777777" w:rsidR="0085089A" w:rsidRPr="006822B5" w:rsidRDefault="0085089A" w:rsidP="0085089A">
      <w:pPr>
        <w:tabs>
          <w:tab w:val="left" w:pos="28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57A7298" w14:textId="77777777" w:rsidR="0085089A" w:rsidRPr="006822B5" w:rsidRDefault="0085089A" w:rsidP="0085089A">
      <w:pPr>
        <w:keepNext/>
        <w:keepLines/>
        <w:tabs>
          <w:tab w:val="left" w:pos="28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822B5">
        <w:rPr>
          <w:rFonts w:ascii="Arial" w:hAnsi="Arial" w:cs="Arial"/>
          <w:b/>
          <w:bCs/>
          <w:sz w:val="24"/>
          <w:szCs w:val="24"/>
        </w:rPr>
        <w:t>§ 4</w:t>
      </w:r>
    </w:p>
    <w:p w14:paraId="50C3910F" w14:textId="5EBA6924" w:rsidR="0085089A" w:rsidRDefault="0085089A" w:rsidP="0085089A">
      <w:pPr>
        <w:pStyle w:val="Textkrper"/>
        <w:keepNext/>
        <w:keepLines/>
        <w:spacing w:line="240" w:lineRule="auto"/>
        <w:jc w:val="both"/>
      </w:pPr>
      <w:r w:rsidRPr="006822B5">
        <w:t>Der Höchstbetrag, bis zu dem im Haushaltsjahr 2026 Liquiditätskredite zur rechtzeitigen Leistung von Auszahlungen in Anspruch genommen werden dürfen, wird auf 17.000.000  Euro festgesetzt.</w:t>
      </w:r>
    </w:p>
    <w:p w14:paraId="3060821D" w14:textId="77777777" w:rsidR="0085089A" w:rsidRPr="006822B5" w:rsidRDefault="0085089A" w:rsidP="0085089A">
      <w:pPr>
        <w:pStyle w:val="Textkrper"/>
        <w:keepNext/>
        <w:keepLines/>
        <w:spacing w:line="240" w:lineRule="auto"/>
        <w:jc w:val="both"/>
      </w:pPr>
    </w:p>
    <w:p w14:paraId="3E6A9B06" w14:textId="7F9A23DB" w:rsidR="0085089A" w:rsidRPr="006822B5" w:rsidRDefault="0085089A" w:rsidP="0085089A">
      <w:pPr>
        <w:keepNext/>
        <w:keepLines/>
        <w:tabs>
          <w:tab w:val="left" w:pos="28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822B5">
        <w:rPr>
          <w:rFonts w:ascii="Arial" w:hAnsi="Arial" w:cs="Arial"/>
          <w:b/>
          <w:bCs/>
          <w:sz w:val="24"/>
          <w:szCs w:val="24"/>
        </w:rPr>
        <w:t>§ 5</w:t>
      </w:r>
    </w:p>
    <w:p w14:paraId="1ACA1697" w14:textId="77777777" w:rsidR="0085089A" w:rsidRPr="006822B5" w:rsidRDefault="0085089A" w:rsidP="0085089A">
      <w:pPr>
        <w:pStyle w:val="Textkrper"/>
        <w:keepNext/>
        <w:keepLines/>
        <w:spacing w:line="240" w:lineRule="auto"/>
        <w:jc w:val="both"/>
      </w:pPr>
      <w:r w:rsidRPr="006822B5">
        <w:t>Die Steuersätze (Hebesätze) für die Realsteuern werden in separater Hebesatzsatzung für das Haushaltsjahr 2026 festgesetzt, nachrichtlich wie folgt aufgeführt:</w:t>
      </w:r>
    </w:p>
    <w:p w14:paraId="55D1576D" w14:textId="77777777" w:rsidR="0085089A" w:rsidRPr="006822B5" w:rsidRDefault="0085089A" w:rsidP="0085089A">
      <w:pPr>
        <w:pStyle w:val="Fuzeile"/>
        <w:keepNext/>
        <w:keepLines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6"/>
        <w:gridCol w:w="3001"/>
      </w:tblGrid>
      <w:tr w:rsidR="0085089A" w:rsidRPr="006822B5" w14:paraId="43EA8D0C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5B13CFC1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6822B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822B5">
              <w:rPr>
                <w:rFonts w:ascii="Arial" w:hAnsi="Arial" w:cs="Arial"/>
                <w:sz w:val="24"/>
                <w:szCs w:val="24"/>
              </w:rPr>
              <w:tab/>
              <w:t>Grundsteuer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2216132E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5089A" w:rsidRPr="006822B5" w14:paraId="53D52D0C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1831EE30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4E8B5F55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5089A" w:rsidRPr="006822B5" w14:paraId="1AFF5083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342E1827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6822B5">
              <w:rPr>
                <w:rFonts w:ascii="Arial" w:hAnsi="Arial" w:cs="Arial"/>
                <w:sz w:val="24"/>
                <w:szCs w:val="24"/>
              </w:rPr>
              <w:t xml:space="preserve">1.1 </w:t>
            </w:r>
            <w:r w:rsidRPr="006822B5">
              <w:rPr>
                <w:rFonts w:ascii="Arial" w:hAnsi="Arial" w:cs="Arial"/>
                <w:sz w:val="24"/>
                <w:szCs w:val="24"/>
              </w:rPr>
              <w:tab/>
              <w:t>für die land- und forstwirtschaftlichen Betriebe (Grundsteuer A)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67614E22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822B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295 v. H.</w:t>
            </w:r>
          </w:p>
        </w:tc>
      </w:tr>
      <w:tr w:rsidR="0085089A" w:rsidRPr="006822B5" w14:paraId="0809B311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4FC0631E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6822B5">
              <w:rPr>
                <w:rFonts w:ascii="Arial" w:hAnsi="Arial" w:cs="Arial"/>
                <w:sz w:val="24"/>
                <w:szCs w:val="24"/>
              </w:rPr>
              <w:t xml:space="preserve">1.2 </w:t>
            </w:r>
            <w:r w:rsidRPr="006822B5">
              <w:rPr>
                <w:rFonts w:ascii="Arial" w:hAnsi="Arial" w:cs="Arial"/>
                <w:sz w:val="24"/>
                <w:szCs w:val="24"/>
              </w:rPr>
              <w:tab/>
              <w:t>für die Grundstücke (Grundsteuer B)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22A75236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22B5">
              <w:rPr>
                <w:rFonts w:ascii="Arial" w:hAnsi="Arial" w:cs="Arial"/>
                <w:b/>
                <w:bCs/>
                <w:sz w:val="24"/>
                <w:szCs w:val="24"/>
              </w:rPr>
              <w:t>315 v. H.</w:t>
            </w:r>
          </w:p>
        </w:tc>
      </w:tr>
      <w:tr w:rsidR="0085089A" w:rsidRPr="006822B5" w14:paraId="24DD3641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772757A8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3B5AC8FC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089A" w:rsidRPr="006822B5" w14:paraId="2716A594" w14:textId="77777777" w:rsidTr="00D00C2D">
        <w:trPr>
          <w:cantSplit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557712C2" w14:textId="77777777" w:rsidR="0085089A" w:rsidRPr="006822B5" w:rsidRDefault="0085089A" w:rsidP="00D00C2D">
            <w:pPr>
              <w:pStyle w:val="Fuzeile"/>
              <w:keepNext/>
              <w:keepLines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22B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6822B5">
              <w:rPr>
                <w:rFonts w:ascii="Arial" w:hAnsi="Arial" w:cs="Arial"/>
                <w:sz w:val="24"/>
                <w:szCs w:val="24"/>
              </w:rPr>
              <w:tab/>
              <w:t xml:space="preserve">Gewerbesteuer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541790B0" w14:textId="77777777" w:rsidR="0085089A" w:rsidRPr="006822B5" w:rsidRDefault="0085089A" w:rsidP="00D00C2D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22B5">
              <w:rPr>
                <w:rFonts w:ascii="Arial" w:hAnsi="Arial" w:cs="Arial"/>
                <w:b/>
                <w:bCs/>
                <w:sz w:val="24"/>
                <w:szCs w:val="24"/>
              </w:rPr>
              <w:t>455 v. H.</w:t>
            </w:r>
          </w:p>
        </w:tc>
      </w:tr>
    </w:tbl>
    <w:p w14:paraId="2ADAD8FD" w14:textId="016C6BEE" w:rsidR="0085089A" w:rsidRDefault="0085089A" w:rsidP="0085089A">
      <w:pPr>
        <w:rPr>
          <w:rFonts w:ascii="Arial" w:hAnsi="Arial" w:cs="Arial"/>
          <w:sz w:val="24"/>
          <w:szCs w:val="24"/>
        </w:rPr>
      </w:pPr>
    </w:p>
    <w:p w14:paraId="37753153" w14:textId="310C3B12" w:rsidR="0085089A" w:rsidRDefault="0085089A" w:rsidP="0085089A">
      <w:pPr>
        <w:rPr>
          <w:rFonts w:ascii="Arial" w:hAnsi="Arial" w:cs="Arial"/>
          <w:sz w:val="24"/>
          <w:szCs w:val="24"/>
        </w:rPr>
      </w:pPr>
    </w:p>
    <w:p w14:paraId="3D42F097" w14:textId="77777777" w:rsidR="0085089A" w:rsidRPr="006822B5" w:rsidRDefault="0085089A" w:rsidP="0085089A">
      <w:pPr>
        <w:rPr>
          <w:rFonts w:ascii="Arial" w:hAnsi="Arial" w:cs="Arial"/>
          <w:sz w:val="24"/>
          <w:szCs w:val="24"/>
        </w:rPr>
      </w:pPr>
    </w:p>
    <w:p w14:paraId="5FDE9FB6" w14:textId="50B30A2C" w:rsidR="0085089A" w:rsidRPr="0085089A" w:rsidRDefault="0085089A" w:rsidP="0085089A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6822B5">
        <w:rPr>
          <w:rFonts w:ascii="Arial" w:hAnsi="Arial" w:cs="Arial"/>
          <w:b/>
          <w:sz w:val="24"/>
          <w:szCs w:val="24"/>
        </w:rPr>
        <w:lastRenderedPageBreak/>
        <w:t>§ 6</w:t>
      </w:r>
    </w:p>
    <w:p w14:paraId="7AA1F90F" w14:textId="77777777" w:rsidR="0085089A" w:rsidRPr="006822B5" w:rsidRDefault="0085089A" w:rsidP="0085089A">
      <w:pPr>
        <w:contextualSpacing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Festlegung von Obergrenzen:</w:t>
      </w:r>
    </w:p>
    <w:p w14:paraId="32DC9C87" w14:textId="77777777" w:rsidR="0085089A" w:rsidRPr="006822B5" w:rsidRDefault="0085089A" w:rsidP="0085089A">
      <w:pPr>
        <w:contextualSpacing/>
        <w:rPr>
          <w:rFonts w:ascii="Arial" w:hAnsi="Arial" w:cs="Arial"/>
          <w:sz w:val="24"/>
          <w:szCs w:val="24"/>
        </w:rPr>
      </w:pPr>
    </w:p>
    <w:p w14:paraId="546DA60F" w14:textId="77777777" w:rsidR="0085089A" w:rsidRDefault="0085089A" w:rsidP="0085089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Über- und außerplanmäßige Aufwendungen und Auszahlungen sind als unerheblich im Sinne von § 117 Abs. 1 NKomVG anzusehen, wenn sie im Haushaltsjahr 75.000 Euro (netto) im Einzelfall nicht übersteigen.</w:t>
      </w:r>
    </w:p>
    <w:p w14:paraId="0D885E13" w14:textId="77777777" w:rsidR="0085089A" w:rsidRPr="006822B5" w:rsidRDefault="0085089A" w:rsidP="0085089A">
      <w:pPr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438DC376" w14:textId="77777777" w:rsidR="0085089A" w:rsidRDefault="0085089A" w:rsidP="0085089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Die Wertgrenze für Investitionen von erheblicher finanzieller Bedeutung im Sinne von § 12 Abs. 1 Satz 1 KomHKVO wird auf 500.000 Euro festgelegt.</w:t>
      </w:r>
    </w:p>
    <w:p w14:paraId="3090676D" w14:textId="77777777" w:rsidR="0085089A" w:rsidRPr="006822B5" w:rsidRDefault="0085089A" w:rsidP="0085089A">
      <w:pPr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2EDC871B" w14:textId="77777777" w:rsidR="0085089A" w:rsidRDefault="0085089A" w:rsidP="0085089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Als erheblich sind Mehraufwendungen oder Auszahlungen bei einzelnen Haushaltspositionen nach § 115 Abs. 2 Nr. 2 NKomVG anzusehen, wenn sie im Einzelfall 4 % der Aufwendungen des Ergebnishaushaltes (ordentliches und außerordentliches Ergebnis) oder 4 % der Auszahlungen des Finanzhaushaltes übersteigen.</w:t>
      </w:r>
    </w:p>
    <w:p w14:paraId="5D37EDB9" w14:textId="77777777" w:rsidR="0085089A" w:rsidRPr="006822B5" w:rsidRDefault="0085089A" w:rsidP="0085089A">
      <w:pPr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45A7C705" w14:textId="77777777" w:rsidR="0085089A" w:rsidRDefault="0085089A" w:rsidP="0085089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Auf die Unterrichtung nach § 117 Abs. 1 NKomVG wird bei über- und außerplanmäßigen Aufwendungen bzw. Auszahlungen verzichtet, wenn zu ihrer Deckung die Deckungsreserve herangezogen wird.</w:t>
      </w:r>
    </w:p>
    <w:p w14:paraId="508AEB79" w14:textId="77777777" w:rsidR="0085089A" w:rsidRPr="006822B5" w:rsidRDefault="0085089A" w:rsidP="0085089A">
      <w:pPr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7C7866EE" w14:textId="77777777" w:rsidR="0085089A" w:rsidRPr="006822B5" w:rsidRDefault="0085089A" w:rsidP="0085089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822B5">
        <w:rPr>
          <w:rFonts w:ascii="Arial" w:hAnsi="Arial" w:cs="Arial"/>
          <w:sz w:val="24"/>
          <w:szCs w:val="24"/>
        </w:rPr>
        <w:t>Ab 40.000 Euro je Objekt ist eine Einzeldarstellung im Finanzhaushalt vorzunehmen (§ 4 Abs. 6 GemHKVO).</w:t>
      </w:r>
    </w:p>
    <w:p w14:paraId="3211C0D5" w14:textId="77777777" w:rsidR="0085089A" w:rsidRPr="006822B5" w:rsidRDefault="0085089A" w:rsidP="0085089A">
      <w:pPr>
        <w:rPr>
          <w:rFonts w:ascii="Arial" w:hAnsi="Arial" w:cs="Arial"/>
          <w:sz w:val="24"/>
          <w:szCs w:val="24"/>
        </w:rPr>
      </w:pPr>
    </w:p>
    <w:p w14:paraId="6E1F7555" w14:textId="77777777" w:rsidR="0085089A" w:rsidRDefault="0085089A" w:rsidP="0085089A">
      <w:pPr>
        <w:pStyle w:val="Fuzeile"/>
        <w:keepNext/>
        <w:keepLines/>
        <w:tabs>
          <w:tab w:val="clear" w:pos="4536"/>
          <w:tab w:val="clear" w:pos="9072"/>
          <w:tab w:val="left" w:pos="5760"/>
        </w:tabs>
        <w:rPr>
          <w:rFonts w:ascii="Arial" w:hAnsi="Arial" w:cs="Arial"/>
          <w:sz w:val="24"/>
          <w:szCs w:val="24"/>
        </w:rPr>
      </w:pPr>
    </w:p>
    <w:p w14:paraId="47E5226F" w14:textId="77777777" w:rsidR="0085089A" w:rsidRDefault="0085089A" w:rsidP="0085089A">
      <w:pPr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Rinteln, den 09.12.2025</w:t>
      </w:r>
    </w:p>
    <w:p w14:paraId="7F4F18B4" w14:textId="77777777" w:rsidR="0085089A" w:rsidRDefault="0085089A" w:rsidP="0085089A">
      <w:pPr>
        <w:adjustRightInd w:val="0"/>
        <w:rPr>
          <w:rFonts w:ascii="ArialMT" w:hAnsi="ArialMT" w:cs="ArialMT"/>
          <w:sz w:val="24"/>
          <w:szCs w:val="24"/>
        </w:rPr>
      </w:pPr>
    </w:p>
    <w:p w14:paraId="1873B51E" w14:textId="77777777" w:rsidR="0085089A" w:rsidRDefault="0085089A" w:rsidP="0085089A">
      <w:pPr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Andrea Lange</w:t>
      </w:r>
    </w:p>
    <w:p w14:paraId="29F7FFF7" w14:textId="77777777" w:rsidR="0085089A" w:rsidRPr="006822B5" w:rsidRDefault="0085089A" w:rsidP="0085089A">
      <w:pPr>
        <w:pStyle w:val="Fuzeile"/>
        <w:keepNext/>
        <w:keepLines/>
        <w:tabs>
          <w:tab w:val="clear" w:pos="4536"/>
          <w:tab w:val="clear" w:pos="9072"/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Bürgermeisterin</w:t>
      </w:r>
    </w:p>
    <w:p w14:paraId="2A2365D2" w14:textId="77777777" w:rsidR="0085089A" w:rsidRPr="004E6481" w:rsidRDefault="0085089A" w:rsidP="0085089A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B0600E2" w14:textId="77777777" w:rsidR="0085089A" w:rsidRDefault="0085089A" w:rsidP="0085089A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CFEAD2A" w14:textId="514C83B9" w:rsidR="0085089A" w:rsidRDefault="0085089A" w:rsidP="008508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Bekanntmachung der Haushaltssatzung</w:t>
      </w:r>
    </w:p>
    <w:p w14:paraId="7F662912" w14:textId="77777777" w:rsidR="0085089A" w:rsidRDefault="0085089A" w:rsidP="0085089A">
      <w:pPr>
        <w:jc w:val="center"/>
        <w:rPr>
          <w:rFonts w:ascii="Arial" w:hAnsi="Arial" w:cs="Arial"/>
          <w:b/>
          <w:sz w:val="24"/>
          <w:szCs w:val="24"/>
        </w:rPr>
      </w:pPr>
    </w:p>
    <w:p w14:paraId="21AB3F5D" w14:textId="77777777" w:rsidR="0085089A" w:rsidRDefault="0085089A" w:rsidP="00850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vorstehende Haushaltssatzung für das Haushaltsjahr 2026 wird hiermit öffentlich bekannt gemacht.</w:t>
      </w:r>
    </w:p>
    <w:p w14:paraId="4A0F5A6B" w14:textId="77777777" w:rsidR="0085089A" w:rsidRDefault="0085089A" w:rsidP="0085089A">
      <w:pPr>
        <w:rPr>
          <w:rFonts w:ascii="Arial" w:hAnsi="Arial" w:cs="Arial"/>
          <w:sz w:val="24"/>
          <w:szCs w:val="24"/>
        </w:rPr>
      </w:pPr>
      <w:r w:rsidRPr="005E1124">
        <w:rPr>
          <w:rFonts w:ascii="Arial" w:hAnsi="Arial" w:cs="Arial"/>
          <w:sz w:val="24"/>
          <w:szCs w:val="24"/>
        </w:rPr>
        <w:t>Die nach § 120 Abs. 2 und § 122 Abs. 2 NKomVG erforderliche Genehmigung ist durch den Landkreis Schaumburg am</w:t>
      </w:r>
      <w:r>
        <w:rPr>
          <w:rFonts w:ascii="Arial" w:hAnsi="Arial" w:cs="Arial"/>
          <w:sz w:val="24"/>
          <w:szCs w:val="24"/>
        </w:rPr>
        <w:t xml:space="preserve"> 09.02.2026 </w:t>
      </w:r>
      <w:r w:rsidRPr="005E1124">
        <w:rPr>
          <w:rFonts w:ascii="Arial" w:hAnsi="Arial" w:cs="Arial"/>
          <w:sz w:val="24"/>
          <w:szCs w:val="24"/>
        </w:rPr>
        <w:t xml:space="preserve">unter dem Aktenzeichen </w:t>
      </w:r>
      <w:r w:rsidRPr="007476E4">
        <w:rPr>
          <w:rFonts w:ascii="Arial" w:hAnsi="Arial" w:cs="Arial"/>
          <w:sz w:val="24"/>
          <w:szCs w:val="24"/>
        </w:rPr>
        <w:t>20 14 10/03</w:t>
      </w:r>
      <w:r w:rsidRPr="005E1124">
        <w:rPr>
          <w:rFonts w:ascii="Arial" w:hAnsi="Arial" w:cs="Arial"/>
          <w:sz w:val="24"/>
          <w:szCs w:val="24"/>
        </w:rPr>
        <w:t xml:space="preserve"> erteilt worden.</w:t>
      </w:r>
    </w:p>
    <w:p w14:paraId="62527D86" w14:textId="30C6D826" w:rsidR="0085089A" w:rsidRPr="00C25D54" w:rsidRDefault="0085089A" w:rsidP="00850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Haushaltsplan liegt nach § 114 Abs. 2 NKomVG vom 1</w:t>
      </w:r>
      <w:r w:rsidR="00C759B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.02.202</w:t>
      </w:r>
      <w:r w:rsidR="00D935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bis zum 2</w:t>
      </w:r>
      <w:r w:rsidR="00C759B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.02.202</w:t>
      </w:r>
      <w:r w:rsidR="00D935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im Rathaus, Klosterstr. 20, 31737 Rinteln, Zimmer 142, zu den allgemeinen Öffnungszei</w:t>
      </w:r>
      <w:r w:rsidRPr="00C25D54">
        <w:rPr>
          <w:rFonts w:ascii="Arial" w:hAnsi="Arial" w:cs="Arial"/>
          <w:sz w:val="24"/>
          <w:szCs w:val="24"/>
        </w:rPr>
        <w:t>ten zur Einsichtnahme öffentlich aus und ist unter der Adresse www.rinteln.de im Internet verfügbar.</w:t>
      </w:r>
    </w:p>
    <w:p w14:paraId="11A67831" w14:textId="77777777" w:rsidR="0085089A" w:rsidRDefault="0085089A" w:rsidP="0085089A">
      <w:pPr>
        <w:rPr>
          <w:rFonts w:ascii="Arial" w:hAnsi="Arial" w:cs="Arial"/>
          <w:sz w:val="24"/>
          <w:szCs w:val="24"/>
        </w:rPr>
      </w:pPr>
    </w:p>
    <w:p w14:paraId="3A5DA29A" w14:textId="6B16536B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Rinteln, den 1</w:t>
      </w:r>
      <w:r w:rsidR="004A53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.02.2026</w:t>
      </w:r>
      <w:bookmarkStart w:id="0" w:name="_GoBack"/>
      <w:bookmarkEnd w:id="0"/>
    </w:p>
    <w:p w14:paraId="3533CDA1" w14:textId="77777777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</w:p>
    <w:p w14:paraId="1F64719B" w14:textId="77777777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Stadt Rinteln</w:t>
      </w:r>
    </w:p>
    <w:p w14:paraId="6B671229" w14:textId="77777777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Bürgermeisterin</w:t>
      </w:r>
    </w:p>
    <w:p w14:paraId="1F9DE7BB" w14:textId="77777777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</w:p>
    <w:p w14:paraId="07CFA89C" w14:textId="77777777" w:rsidR="0085089A" w:rsidRDefault="0085089A" w:rsidP="00850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Lange</w:t>
      </w:r>
    </w:p>
    <w:sectPr w:rsidR="0085089A" w:rsidSect="00D87685">
      <w:headerReference w:type="default" r:id="rId8"/>
      <w:pgSz w:w="11906" w:h="16838"/>
      <w:pgMar w:top="141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037B9" w14:textId="77777777" w:rsidR="008658BF" w:rsidRDefault="008658BF" w:rsidP="008658BF">
      <w:pPr>
        <w:spacing w:after="0" w:line="240" w:lineRule="auto"/>
      </w:pPr>
      <w:r>
        <w:separator/>
      </w:r>
    </w:p>
  </w:endnote>
  <w:endnote w:type="continuationSeparator" w:id="0">
    <w:p w14:paraId="7F8DF657" w14:textId="77777777" w:rsidR="008658BF" w:rsidRDefault="008658BF" w:rsidP="0086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F780B" w14:textId="77777777" w:rsidR="008658BF" w:rsidRDefault="008658BF" w:rsidP="008658BF">
      <w:pPr>
        <w:spacing w:after="0" w:line="240" w:lineRule="auto"/>
      </w:pPr>
      <w:r>
        <w:separator/>
      </w:r>
    </w:p>
  </w:footnote>
  <w:footnote w:type="continuationSeparator" w:id="0">
    <w:p w14:paraId="0A8DEF51" w14:textId="77777777" w:rsidR="008658BF" w:rsidRDefault="008658BF" w:rsidP="0086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F67A" w14:textId="1CD75DFF" w:rsidR="008658BF" w:rsidRPr="008658BF" w:rsidRDefault="008658BF" w:rsidP="008658BF">
    <w:pPr>
      <w:spacing w:after="0" w:line="240" w:lineRule="auto"/>
      <w:jc w:val="center"/>
      <w:rPr>
        <w:rFonts w:ascii="Times New Roman" w:eastAsia="Times New Roman" w:hAnsi="Times New Roman" w:cs="Times New Roman"/>
        <w:sz w:val="72"/>
      </w:rPr>
    </w:pPr>
    <w:r w:rsidRPr="008658BF">
      <w:rPr>
        <w:rFonts w:ascii="Calibri" w:eastAsia="Times New Roman" w:hAnsi="Calibri" w:cs="Times New Roman"/>
      </w:rPr>
      <w:object w:dxaOrig="6750" w:dyaOrig="7425" w14:anchorId="736D85B9">
        <v:rect id="_x0000_i1025" style="width:98.25pt;height:107.25pt" o:preferrelative="t" stroked="f">
          <v:imagedata r:id="rId1" o:title=""/>
        </v:rect>
        <o:OLEObject Type="Embed" ProgID="StaticMetafile" ShapeID="_x0000_i1025" DrawAspect="Content" ObjectID="_1832826929" r:id="rId2"/>
      </w:object>
    </w:r>
  </w:p>
  <w:p w14:paraId="388F924B" w14:textId="77777777" w:rsidR="008658BF" w:rsidRPr="008658BF" w:rsidRDefault="008658BF" w:rsidP="008658BF">
    <w:pPr>
      <w:spacing w:after="0" w:line="240" w:lineRule="auto"/>
      <w:jc w:val="center"/>
      <w:rPr>
        <w:rFonts w:ascii="Times New Roman" w:eastAsia="Times New Roman" w:hAnsi="Times New Roman" w:cs="Times New Roman"/>
        <w:sz w:val="72"/>
      </w:rPr>
    </w:pPr>
    <w:r w:rsidRPr="008658BF">
      <w:rPr>
        <w:rFonts w:ascii="Times New Roman" w:eastAsia="Times New Roman" w:hAnsi="Times New Roman" w:cs="Times New Roman"/>
        <w:sz w:val="72"/>
      </w:rPr>
      <w:t>Elektronisches Amtsblatt</w:t>
    </w:r>
  </w:p>
  <w:p w14:paraId="76EC1744" w14:textId="77777777" w:rsidR="008658BF" w:rsidRPr="008658BF" w:rsidRDefault="008658BF" w:rsidP="008658BF">
    <w:pPr>
      <w:spacing w:after="0" w:line="240" w:lineRule="auto"/>
      <w:jc w:val="center"/>
      <w:rPr>
        <w:rFonts w:ascii="Times New Roman" w:eastAsia="Times New Roman" w:hAnsi="Times New Roman" w:cs="Times New Roman"/>
        <w:sz w:val="72"/>
      </w:rPr>
    </w:pPr>
    <w:r w:rsidRPr="008658BF">
      <w:rPr>
        <w:rFonts w:ascii="Times New Roman" w:eastAsia="Times New Roman" w:hAnsi="Times New Roman" w:cs="Times New Roman"/>
        <w:sz w:val="72"/>
      </w:rPr>
      <w:t>für die Stadt Rinteln</w:t>
    </w:r>
  </w:p>
  <w:p w14:paraId="5A458B9B" w14:textId="77777777" w:rsidR="008658BF" w:rsidRPr="008658BF" w:rsidRDefault="008658BF" w:rsidP="008658BF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32"/>
      </w:rPr>
    </w:pPr>
  </w:p>
  <w:p w14:paraId="3909958C" w14:textId="60AD8FF8" w:rsidR="008658BF" w:rsidRPr="008658BF" w:rsidRDefault="008658BF" w:rsidP="008658BF">
    <w:pPr>
      <w:pBdr>
        <w:top w:val="single" w:sz="4" w:space="1" w:color="auto"/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32"/>
        <w:szCs w:val="32"/>
      </w:rPr>
    </w:pPr>
    <w:r w:rsidRPr="008658BF">
      <w:rPr>
        <w:rFonts w:ascii="Times New Roman" w:eastAsia="Times New Roman" w:hAnsi="Times New Roman" w:cs="Times New Roman"/>
        <w:sz w:val="32"/>
        <w:szCs w:val="32"/>
      </w:rPr>
      <w:t xml:space="preserve">Nr. </w:t>
    </w:r>
    <w:r w:rsidR="0085089A">
      <w:rPr>
        <w:rFonts w:ascii="Times New Roman" w:eastAsia="Times New Roman" w:hAnsi="Times New Roman" w:cs="Times New Roman"/>
        <w:sz w:val="32"/>
        <w:szCs w:val="32"/>
      </w:rPr>
      <w:t>1</w:t>
    </w:r>
    <w:r w:rsidRPr="008658BF">
      <w:rPr>
        <w:rFonts w:ascii="Times New Roman" w:eastAsia="Times New Roman" w:hAnsi="Times New Roman" w:cs="Times New Roman"/>
        <w:sz w:val="32"/>
        <w:szCs w:val="32"/>
      </w:rPr>
      <w:t xml:space="preserve"> </w:t>
    </w:r>
    <w:r w:rsidRPr="008658BF">
      <w:rPr>
        <w:rFonts w:ascii="Times New Roman" w:eastAsia="Times New Roman" w:hAnsi="Times New Roman" w:cs="Times New Roman"/>
        <w:sz w:val="32"/>
        <w:szCs w:val="32"/>
      </w:rPr>
      <w:tab/>
      <w:t xml:space="preserve">Ausgegeben durch die Stadt Rinteln am </w:t>
    </w:r>
    <w:r w:rsidR="004A5327">
      <w:rPr>
        <w:rFonts w:ascii="Times New Roman" w:eastAsia="Times New Roman" w:hAnsi="Times New Roman" w:cs="Times New Roman"/>
        <w:sz w:val="32"/>
        <w:szCs w:val="32"/>
      </w:rPr>
      <w:t>1</w:t>
    </w:r>
    <w:r w:rsidR="00C759B6">
      <w:rPr>
        <w:rFonts w:ascii="Times New Roman" w:eastAsia="Times New Roman" w:hAnsi="Times New Roman" w:cs="Times New Roman"/>
        <w:sz w:val="32"/>
        <w:szCs w:val="32"/>
      </w:rPr>
      <w:t>8</w:t>
    </w:r>
    <w:r w:rsidR="004A5327">
      <w:rPr>
        <w:rFonts w:ascii="Times New Roman" w:eastAsia="Times New Roman" w:hAnsi="Times New Roman" w:cs="Times New Roman"/>
        <w:sz w:val="32"/>
        <w:szCs w:val="32"/>
      </w:rPr>
      <w:t>.02.2026</w:t>
    </w:r>
    <w:r w:rsidRPr="008658BF">
      <w:rPr>
        <w:rFonts w:ascii="Times New Roman" w:eastAsia="Times New Roman" w:hAnsi="Times New Roman" w:cs="Times New Roman"/>
        <w:sz w:val="32"/>
        <w:szCs w:val="32"/>
      </w:rPr>
      <w:t xml:space="preserve">       2</w:t>
    </w:r>
    <w:r w:rsidR="0085089A">
      <w:rPr>
        <w:rFonts w:ascii="Times New Roman" w:eastAsia="Times New Roman" w:hAnsi="Times New Roman" w:cs="Times New Roman"/>
        <w:sz w:val="32"/>
        <w:szCs w:val="32"/>
      </w:rPr>
      <w:t>6</w:t>
    </w:r>
    <w:r w:rsidRPr="008658BF">
      <w:rPr>
        <w:rFonts w:ascii="Times New Roman" w:eastAsia="Times New Roman" w:hAnsi="Times New Roman" w:cs="Times New Roman"/>
        <w:sz w:val="32"/>
        <w:szCs w:val="32"/>
      </w:rPr>
      <w:t xml:space="preserve">. Jahrgang   </w:t>
    </w:r>
  </w:p>
  <w:p w14:paraId="00EA56CF" w14:textId="71EC99DB" w:rsidR="008658BF" w:rsidRDefault="008658BF">
    <w:pPr>
      <w:pStyle w:val="Kopfzeile"/>
    </w:pPr>
  </w:p>
  <w:p w14:paraId="5B92F322" w14:textId="77777777" w:rsidR="008658BF" w:rsidRDefault="008658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7C91"/>
    <w:multiLevelType w:val="hybridMultilevel"/>
    <w:tmpl w:val="30405C4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70"/>
    <w:rsid w:val="00007C40"/>
    <w:rsid w:val="000B3C58"/>
    <w:rsid w:val="000D2651"/>
    <w:rsid w:val="001028C0"/>
    <w:rsid w:val="001071CD"/>
    <w:rsid w:val="00114AD2"/>
    <w:rsid w:val="0014320E"/>
    <w:rsid w:val="001D241C"/>
    <w:rsid w:val="001E6B70"/>
    <w:rsid w:val="00291856"/>
    <w:rsid w:val="003E52EA"/>
    <w:rsid w:val="00473034"/>
    <w:rsid w:val="004A5327"/>
    <w:rsid w:val="004B2474"/>
    <w:rsid w:val="004D3401"/>
    <w:rsid w:val="004E474A"/>
    <w:rsid w:val="004E5345"/>
    <w:rsid w:val="00525379"/>
    <w:rsid w:val="00551EA2"/>
    <w:rsid w:val="005B163E"/>
    <w:rsid w:val="005D752E"/>
    <w:rsid w:val="006232D5"/>
    <w:rsid w:val="006527A8"/>
    <w:rsid w:val="007A4535"/>
    <w:rsid w:val="00816BCE"/>
    <w:rsid w:val="00842A7B"/>
    <w:rsid w:val="0085089A"/>
    <w:rsid w:val="008658BF"/>
    <w:rsid w:val="008D1E5D"/>
    <w:rsid w:val="00902BC6"/>
    <w:rsid w:val="00905C00"/>
    <w:rsid w:val="00920111"/>
    <w:rsid w:val="009525EC"/>
    <w:rsid w:val="00AA5878"/>
    <w:rsid w:val="00AC3689"/>
    <w:rsid w:val="00AE4BB0"/>
    <w:rsid w:val="00BB3977"/>
    <w:rsid w:val="00C66A79"/>
    <w:rsid w:val="00C759B6"/>
    <w:rsid w:val="00C772A2"/>
    <w:rsid w:val="00C84E1A"/>
    <w:rsid w:val="00CE26DD"/>
    <w:rsid w:val="00D05FB5"/>
    <w:rsid w:val="00D21AAB"/>
    <w:rsid w:val="00D87685"/>
    <w:rsid w:val="00D935B2"/>
    <w:rsid w:val="00DB23EA"/>
    <w:rsid w:val="00E848FB"/>
    <w:rsid w:val="00EC3F2A"/>
    <w:rsid w:val="00FE7B48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9B3AA66"/>
  <w15:docId w15:val="{536EFA2F-43FD-4FE8-BB59-1302F9FF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75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52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20E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99"/>
    <w:rsid w:val="00551EA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8BF"/>
  </w:style>
  <w:style w:type="paragraph" w:styleId="Fuzeile">
    <w:name w:val="footer"/>
    <w:basedOn w:val="Standard"/>
    <w:link w:val="FuzeileZchn"/>
    <w:uiPriority w:val="99"/>
    <w:unhideWhenUsed/>
    <w:rsid w:val="008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8BF"/>
  </w:style>
  <w:style w:type="paragraph" w:styleId="Textkrper">
    <w:name w:val="Body Text"/>
    <w:basedOn w:val="Standard"/>
    <w:link w:val="TextkrperZchn"/>
    <w:uiPriority w:val="99"/>
    <w:rsid w:val="0085089A"/>
    <w:pPr>
      <w:autoSpaceDE w:val="0"/>
      <w:autoSpaceDN w:val="0"/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5089A"/>
    <w:rPr>
      <w:rFonts w:ascii="Arial" w:eastAsia="Times New Roman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EB18-5B39-4077-8239-FED8EBED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Rinteln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Friedrich, Anja</dc:creator>
  <cp:lastModifiedBy>Könner, Ilka</cp:lastModifiedBy>
  <cp:revision>6</cp:revision>
  <cp:lastPrinted>2026-02-17T07:27:00Z</cp:lastPrinted>
  <dcterms:created xsi:type="dcterms:W3CDTF">2026-02-16T09:02:00Z</dcterms:created>
  <dcterms:modified xsi:type="dcterms:W3CDTF">2026-02-17T08:49:00Z</dcterms:modified>
</cp:coreProperties>
</file>